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51D" w:rsidRDefault="00A2451D" w:rsidP="003D3731">
      <w:pPr>
        <w:jc w:val="center"/>
        <w:rPr>
          <w:rFonts w:ascii="Arial" w:hAnsi="Arial" w:cs="Arial"/>
          <w:b/>
          <w:color w:val="004C87"/>
          <w:sz w:val="48"/>
          <w:szCs w:val="48"/>
          <w:lang w:val="en-GB"/>
        </w:rPr>
      </w:pPr>
    </w:p>
    <w:p w:rsidR="007E2939" w:rsidRPr="00762B60" w:rsidRDefault="003D3731" w:rsidP="003D3731">
      <w:pPr>
        <w:jc w:val="center"/>
        <w:rPr>
          <w:rFonts w:ascii="Arial" w:hAnsi="Arial" w:cs="Arial"/>
          <w:b/>
          <w:color w:val="004C87"/>
          <w:sz w:val="48"/>
          <w:szCs w:val="48"/>
          <w:lang w:val="en-GB"/>
        </w:rPr>
      </w:pPr>
      <w:r w:rsidRPr="00762B60">
        <w:rPr>
          <w:rFonts w:ascii="Arial" w:hAnsi="Arial" w:cs="Arial"/>
          <w:b/>
          <w:color w:val="004C87"/>
          <w:sz w:val="48"/>
          <w:szCs w:val="48"/>
          <w:lang w:val="en-GB"/>
        </w:rPr>
        <w:t xml:space="preserve">MTA </w:t>
      </w:r>
    </w:p>
    <w:p w:rsidR="003D3731" w:rsidRPr="000D205B" w:rsidRDefault="00AC62FF" w:rsidP="003D3731">
      <w:pPr>
        <w:jc w:val="center"/>
        <w:rPr>
          <w:rFonts w:ascii="Arial" w:hAnsi="Arial" w:cs="Arial"/>
          <w:b/>
          <w:color w:val="004C87"/>
          <w:sz w:val="32"/>
          <w:szCs w:val="32"/>
          <w:lang w:val="en-GB"/>
        </w:rPr>
      </w:pPr>
      <w:r w:rsidRPr="000D205B">
        <w:rPr>
          <w:rFonts w:ascii="Arial" w:hAnsi="Arial" w:cs="Arial"/>
          <w:b/>
          <w:color w:val="004C87"/>
          <w:sz w:val="32"/>
          <w:szCs w:val="32"/>
          <w:lang w:val="en-GB"/>
        </w:rPr>
        <w:t>New electromechanical unit for</w:t>
      </w:r>
      <w:r w:rsidR="00B85F5F" w:rsidRPr="000D205B">
        <w:rPr>
          <w:rFonts w:ascii="Arial" w:hAnsi="Arial" w:cs="Arial"/>
          <w:b/>
          <w:color w:val="004C87"/>
          <w:sz w:val="32"/>
          <w:szCs w:val="32"/>
          <w:lang w:val="en-GB"/>
        </w:rPr>
        <w:t xml:space="preserve"> Dacia Duster</w:t>
      </w:r>
      <w:r w:rsidR="007E2939" w:rsidRPr="000D205B">
        <w:rPr>
          <w:rFonts w:ascii="Arial" w:hAnsi="Arial" w:cs="Arial"/>
          <w:b/>
          <w:color w:val="004C87"/>
          <w:sz w:val="32"/>
          <w:szCs w:val="32"/>
          <w:lang w:val="en-GB"/>
        </w:rPr>
        <w:t xml:space="preserve"> </w:t>
      </w:r>
    </w:p>
    <w:p w:rsidR="00B85F5F" w:rsidRPr="000D205B" w:rsidRDefault="00B85F5F" w:rsidP="003D3731">
      <w:pPr>
        <w:jc w:val="center"/>
        <w:rPr>
          <w:rFonts w:ascii="Arial" w:hAnsi="Arial" w:cs="Arial"/>
          <w:b/>
          <w:i/>
          <w:color w:val="004C87"/>
          <w:sz w:val="28"/>
          <w:szCs w:val="28"/>
          <w:lang w:val="en-GB"/>
        </w:rPr>
      </w:pPr>
    </w:p>
    <w:p w:rsidR="006735D8" w:rsidRPr="00762B60" w:rsidRDefault="006735D8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1E7BD7" w:rsidRPr="00556407" w:rsidRDefault="00DB0A9E" w:rsidP="00A2451D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Munich</w:t>
      </w:r>
      <w:r w:rsidR="001E7BD7" w:rsidRPr="00556407">
        <w:rPr>
          <w:rFonts w:ascii="Arial" w:hAnsi="Arial" w:cs="Arial"/>
          <w:i/>
          <w:sz w:val="22"/>
          <w:szCs w:val="22"/>
          <w:lang w:val="en-GB"/>
        </w:rPr>
        <w:t xml:space="preserve">, </w:t>
      </w:r>
      <w:r>
        <w:rPr>
          <w:rFonts w:ascii="Arial" w:hAnsi="Arial" w:cs="Arial"/>
          <w:i/>
          <w:sz w:val="22"/>
          <w:szCs w:val="22"/>
          <w:lang w:val="en-GB"/>
        </w:rPr>
        <w:t>13 November</w:t>
      </w:r>
      <w:r w:rsidR="001E7BD7" w:rsidRPr="00556407">
        <w:rPr>
          <w:rFonts w:ascii="Arial" w:hAnsi="Arial" w:cs="Arial"/>
          <w:i/>
          <w:sz w:val="22"/>
          <w:szCs w:val="22"/>
          <w:lang w:val="en-GB"/>
        </w:rPr>
        <w:t xml:space="preserve"> 2018</w:t>
      </w:r>
      <w:r w:rsidR="001E7BD7" w:rsidRPr="00556407">
        <w:rPr>
          <w:rFonts w:ascii="Arial" w:hAnsi="Arial" w:cs="Arial"/>
          <w:sz w:val="22"/>
          <w:szCs w:val="22"/>
          <w:lang w:val="en-GB"/>
        </w:rPr>
        <w:t xml:space="preserve">. MTA, a multinational company headquartered in Italy, known for the development and production of a wide range of electromechanical and electronic products for major OEMs, showcases during </w:t>
      </w:r>
      <w:r w:rsidR="00A73BD5">
        <w:rPr>
          <w:rFonts w:ascii="Arial" w:hAnsi="Arial" w:cs="Arial"/>
          <w:sz w:val="22"/>
          <w:szCs w:val="22"/>
          <w:lang w:val="en-GB"/>
        </w:rPr>
        <w:t>E</w:t>
      </w:r>
      <w:r>
        <w:rPr>
          <w:rFonts w:ascii="Arial" w:hAnsi="Arial" w:cs="Arial"/>
          <w:sz w:val="22"/>
          <w:szCs w:val="22"/>
          <w:lang w:val="en-GB"/>
        </w:rPr>
        <w:t>lectronica</w:t>
      </w:r>
      <w:r w:rsidR="00A73BD5">
        <w:rPr>
          <w:rFonts w:ascii="Arial" w:hAnsi="Arial" w:cs="Arial"/>
          <w:sz w:val="22"/>
          <w:szCs w:val="22"/>
          <w:lang w:val="en-GB"/>
        </w:rPr>
        <w:t xml:space="preserve"> show</w:t>
      </w:r>
      <w:r w:rsidR="001E7BD7" w:rsidRPr="00556407">
        <w:rPr>
          <w:rFonts w:ascii="Arial" w:hAnsi="Arial" w:cs="Arial"/>
          <w:sz w:val="22"/>
          <w:szCs w:val="22"/>
          <w:lang w:val="en-GB"/>
        </w:rPr>
        <w:t xml:space="preserve"> (</w:t>
      </w:r>
      <w:r w:rsidRPr="00DB0A9E">
        <w:rPr>
          <w:rFonts w:ascii="Arial" w:hAnsi="Arial" w:cs="Arial"/>
          <w:sz w:val="22"/>
          <w:szCs w:val="22"/>
          <w:lang w:val="en-GB"/>
        </w:rPr>
        <w:t>Hall B4, Stand 536</w:t>
      </w:r>
      <w:r w:rsidR="001E7BD7" w:rsidRPr="00556407">
        <w:rPr>
          <w:rFonts w:ascii="Arial" w:hAnsi="Arial" w:cs="Arial"/>
          <w:sz w:val="22"/>
          <w:szCs w:val="22"/>
          <w:lang w:val="en-GB"/>
        </w:rPr>
        <w:t xml:space="preserve">) a selection of its electromechanical units, including the one developed for Dacia Duster, which </w:t>
      </w:r>
      <w:r w:rsidR="001E7BD7" w:rsidRPr="00556407">
        <w:rPr>
          <w:rFonts w:ascii="Arial" w:hAnsi="Arial"/>
          <w:sz w:val="22"/>
          <w:szCs w:val="22"/>
          <w:lang w:val="en-GB"/>
        </w:rPr>
        <w:t>renews the long partnership between the company and Renault, active for more than 15 years.</w:t>
      </w:r>
    </w:p>
    <w:p w:rsidR="001E7BD7" w:rsidRPr="00556407" w:rsidRDefault="001E7BD7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556407">
        <w:rPr>
          <w:rFonts w:ascii="Arial" w:hAnsi="Arial" w:cs="Arial"/>
          <w:sz w:val="22"/>
          <w:szCs w:val="22"/>
          <w:lang w:val="en-GB"/>
        </w:rPr>
        <w:t xml:space="preserve">The unit developed for </w:t>
      </w:r>
      <w:r w:rsidR="00BD7AC0" w:rsidRPr="00556407">
        <w:rPr>
          <w:rFonts w:ascii="Arial" w:hAnsi="Arial" w:cs="Arial"/>
          <w:sz w:val="22"/>
          <w:szCs w:val="22"/>
          <w:lang w:val="en-GB"/>
        </w:rPr>
        <w:t>D</w:t>
      </w:r>
      <w:r w:rsidRPr="00556407">
        <w:rPr>
          <w:rFonts w:ascii="Arial" w:hAnsi="Arial" w:cs="Arial"/>
          <w:sz w:val="22"/>
          <w:szCs w:val="22"/>
          <w:lang w:val="en-GB"/>
        </w:rPr>
        <w:t xml:space="preserve">acia Duster allows power distribution and the protection of services and it </w:t>
      </w:r>
      <w:r w:rsidR="00530749" w:rsidRPr="00556407">
        <w:rPr>
          <w:rFonts w:ascii="Arial" w:hAnsi="Arial" w:cs="Arial"/>
          <w:sz w:val="22"/>
          <w:szCs w:val="22"/>
          <w:lang w:val="en-GB"/>
        </w:rPr>
        <w:t>enables</w:t>
      </w:r>
      <w:r w:rsidRPr="00556407">
        <w:rPr>
          <w:rFonts w:ascii="Arial" w:hAnsi="Arial" w:cs="Arial"/>
          <w:sz w:val="22"/>
          <w:szCs w:val="22"/>
          <w:lang w:val="en-GB"/>
        </w:rPr>
        <w:t xml:space="preserve"> a better rationalization of loads and consequently a better layout in the engine compartment.</w:t>
      </w:r>
    </w:p>
    <w:p w:rsidR="001E7BD7" w:rsidRPr="00556407" w:rsidRDefault="001E7BD7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556407">
        <w:rPr>
          <w:rFonts w:ascii="Arial" w:hAnsi="Arial" w:cs="Arial"/>
          <w:sz w:val="22"/>
          <w:szCs w:val="22"/>
          <w:lang w:val="en-GB"/>
        </w:rPr>
        <w:t xml:space="preserve">The unit, called BFT HJD (from the project's codename), is the first to be mass produced with clinched fuses of the </w:t>
      </w:r>
      <w:proofErr w:type="spellStart"/>
      <w:r w:rsidRPr="00556407">
        <w:rPr>
          <w:rFonts w:ascii="Arial" w:hAnsi="Arial" w:cs="Arial"/>
          <w:sz w:val="22"/>
          <w:szCs w:val="22"/>
          <w:lang w:val="en-GB"/>
        </w:rPr>
        <w:t>MegaCompact</w:t>
      </w:r>
      <w:proofErr w:type="spellEnd"/>
      <w:r w:rsidRPr="00556407">
        <w:rPr>
          <w:rFonts w:ascii="Arial" w:hAnsi="Arial" w:cs="Arial"/>
          <w:sz w:val="22"/>
          <w:szCs w:val="22"/>
          <w:lang w:val="en-GB"/>
        </w:rPr>
        <w:t xml:space="preserve"> (an MTA exclusive)</w:t>
      </w:r>
      <w:r w:rsidR="00762B60" w:rsidRPr="00556407">
        <w:rPr>
          <w:rFonts w:ascii="Arial" w:hAnsi="Arial" w:cs="Arial"/>
          <w:sz w:val="22"/>
          <w:szCs w:val="22"/>
          <w:lang w:val="en-GB"/>
        </w:rPr>
        <w:t xml:space="preserve">. These fuses </w:t>
      </w:r>
      <w:r w:rsidR="006735D8" w:rsidRPr="00556407">
        <w:rPr>
          <w:rFonts w:ascii="Arial" w:hAnsi="Arial" w:cs="Arial"/>
          <w:sz w:val="22"/>
          <w:szCs w:val="22"/>
          <w:lang w:val="en-GB"/>
        </w:rPr>
        <w:t>allow the use of thinner wires for space and weight saving, in line with the needs of OEMs to meet increasingly stringent regulations related to CO</w:t>
      </w:r>
      <w:r w:rsidR="006735D8" w:rsidRPr="00556407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="006735D8" w:rsidRPr="00556407">
        <w:rPr>
          <w:rFonts w:ascii="Arial" w:hAnsi="Arial" w:cs="Arial"/>
          <w:sz w:val="22"/>
          <w:szCs w:val="22"/>
          <w:lang w:val="en-GB"/>
        </w:rPr>
        <w:t xml:space="preserve"> reduction.</w:t>
      </w:r>
    </w:p>
    <w:p w:rsidR="001E7BD7" w:rsidRPr="00556407" w:rsidRDefault="001E7BD7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556407">
        <w:rPr>
          <w:rFonts w:ascii="Arial" w:hAnsi="Arial" w:cs="Arial"/>
          <w:sz w:val="22"/>
          <w:szCs w:val="22"/>
          <w:lang w:val="en-GB"/>
        </w:rPr>
        <w:t xml:space="preserve">BFT is mounted directly on the battery and is equipped with a horizontal battery terminal, also produced by </w:t>
      </w:r>
      <w:r w:rsidR="00BD7AC0" w:rsidRPr="00556407">
        <w:rPr>
          <w:rFonts w:ascii="Arial" w:hAnsi="Arial" w:cs="Arial"/>
          <w:sz w:val="22"/>
          <w:szCs w:val="22"/>
          <w:lang w:val="en-GB"/>
        </w:rPr>
        <w:t>MTA.</w:t>
      </w:r>
      <w:r w:rsidR="00AC62FF" w:rsidRPr="00556407">
        <w:rPr>
          <w:rFonts w:ascii="Arial" w:hAnsi="Arial" w:cs="Arial"/>
          <w:sz w:val="22"/>
          <w:szCs w:val="22"/>
          <w:lang w:val="en-GB"/>
        </w:rPr>
        <w:t xml:space="preserve"> </w:t>
      </w:r>
      <w:r w:rsidRPr="00556407">
        <w:rPr>
          <w:rFonts w:ascii="Arial" w:hAnsi="Arial" w:cs="Arial"/>
          <w:sz w:val="22"/>
          <w:szCs w:val="22"/>
          <w:lang w:val="en-GB"/>
        </w:rPr>
        <w:t>Its cover is made with a Jump Start plug to allow easy access, in case the battery needs recharging.</w:t>
      </w:r>
    </w:p>
    <w:p w:rsidR="001E7BD7" w:rsidRPr="00556407" w:rsidRDefault="00BD7AC0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556407">
        <w:rPr>
          <w:rFonts w:ascii="Arial" w:hAnsi="Arial" w:cs="Arial"/>
          <w:sz w:val="22"/>
          <w:szCs w:val="22"/>
          <w:lang w:val="en-GB"/>
        </w:rPr>
        <w:t>The unit develop</w:t>
      </w:r>
      <w:r w:rsidR="006735D8" w:rsidRPr="00556407">
        <w:rPr>
          <w:rFonts w:ascii="Arial" w:hAnsi="Arial" w:cs="Arial"/>
          <w:sz w:val="22"/>
          <w:szCs w:val="22"/>
          <w:lang w:val="en-GB"/>
        </w:rPr>
        <w:t>p</w:t>
      </w:r>
      <w:r w:rsidRPr="00556407">
        <w:rPr>
          <w:rFonts w:ascii="Arial" w:hAnsi="Arial" w:cs="Arial"/>
          <w:sz w:val="22"/>
          <w:szCs w:val="22"/>
          <w:lang w:val="en-GB"/>
        </w:rPr>
        <w:t>ed for Renault is part of a wide range of electromechanical units that MTA offers to major OEMs for applications ranging from cars to motorcycles, and to on and offhighway heavy duty vehicles.</w:t>
      </w:r>
    </w:p>
    <w:p w:rsidR="00AC62FF" w:rsidRDefault="00BD7AC0" w:rsidP="006735D8">
      <w:pPr>
        <w:spacing w:after="120" w:line="360" w:lineRule="auto"/>
        <w:jc w:val="both"/>
        <w:rPr>
          <w:rStyle w:val="Collegamentoipertestuale"/>
          <w:rFonts w:ascii="Arial" w:hAnsi="Arial" w:cs="Arial"/>
          <w:sz w:val="22"/>
          <w:szCs w:val="22"/>
          <w:lang w:val="en-GB"/>
        </w:rPr>
      </w:pPr>
      <w:r w:rsidRPr="00556407">
        <w:rPr>
          <w:rFonts w:ascii="Arial" w:hAnsi="Arial" w:cs="Arial"/>
          <w:sz w:val="22"/>
          <w:szCs w:val="22"/>
          <w:lang w:val="en-GB"/>
        </w:rPr>
        <w:t xml:space="preserve">To learn more about MTA’s electromechanical units, please visit </w:t>
      </w:r>
      <w:hyperlink r:id="rId8" w:history="1">
        <w:r w:rsidR="00AC62FF" w:rsidRPr="00556407">
          <w:rPr>
            <w:rStyle w:val="Collegamentoipertestuale"/>
            <w:rFonts w:ascii="Arial" w:hAnsi="Arial" w:cs="Arial"/>
            <w:sz w:val="22"/>
            <w:szCs w:val="22"/>
            <w:lang w:val="en-GB"/>
          </w:rPr>
          <w:t>http://www.mta.it/en/power-distribution-units</w:t>
        </w:r>
      </w:hyperlink>
    </w:p>
    <w:p w:rsidR="003D6EFA" w:rsidRDefault="003D6EFA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3D6EFA" w:rsidRDefault="003D6EFA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3D6EFA" w:rsidRDefault="003D6EFA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3D6EFA" w:rsidRDefault="003D6EFA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3D6EFA" w:rsidRDefault="003D6EFA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3D6EFA" w:rsidRPr="00556407" w:rsidRDefault="003D6EFA" w:rsidP="006735D8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3D6EFA" w:rsidRPr="008A6EB5" w:rsidRDefault="003D6EFA" w:rsidP="003D6EFA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  <w:r w:rsidRPr="008A6EB5">
        <w:rPr>
          <w:rFonts w:ascii="HelveticaNeue-LightCond" w:hAnsi="HelveticaNeue-LightCond" w:cs="HelveticaNeue-LightCond"/>
          <w:color w:val="004E8B"/>
          <w:sz w:val="20"/>
          <w:lang w:val="en-GB"/>
        </w:rPr>
        <w:lastRenderedPageBreak/>
        <w:t>To download the MTA Press kit,</w:t>
      </w:r>
      <w:r>
        <w:rPr>
          <w:rFonts w:ascii="HelveticaNeue-LightCond" w:hAnsi="HelveticaNeue-LightCond" w:cs="HelveticaNeue-LightCond"/>
          <w:color w:val="004E8B"/>
          <w:sz w:val="20"/>
          <w:lang w:val="en-GB"/>
        </w:rPr>
        <w:t xml:space="preserve"> </w:t>
      </w:r>
      <w:r w:rsidRPr="008A6EB5">
        <w:rPr>
          <w:rFonts w:ascii="HelveticaNeue-LightCond" w:hAnsi="HelveticaNeue-LightCond" w:cs="HelveticaNeue-LightCond"/>
          <w:color w:val="004E8B"/>
          <w:sz w:val="20"/>
          <w:lang w:val="en-GB"/>
        </w:rPr>
        <w:t>please connect to the following QR Code</w:t>
      </w:r>
    </w:p>
    <w:p w:rsidR="003D6EFA" w:rsidRDefault="003D6EFA" w:rsidP="003D6EFA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3D6EFA" w:rsidRDefault="00C8510D" w:rsidP="003D6EFA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z w:val="22"/>
          <w:szCs w:val="22"/>
          <w:lang w:val="en-GB"/>
        </w:rPr>
        <w:drawing>
          <wp:anchor distT="0" distB="0" distL="114300" distR="114300" simplePos="0" relativeHeight="251662336" behindDoc="0" locked="0" layoutInCell="1" allowOverlap="1" wp14:anchorId="76DBC11F" wp14:editId="678CB008">
            <wp:simplePos x="0" y="0"/>
            <wp:positionH relativeFrom="margin">
              <wp:align>center</wp:align>
            </wp:positionH>
            <wp:positionV relativeFrom="margin">
              <wp:posOffset>471750</wp:posOffset>
            </wp:positionV>
            <wp:extent cx="1758843" cy="1779105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7" t="7141" r="8109" b="7615"/>
                    <a:stretch/>
                  </pic:blipFill>
                  <pic:spPr bwMode="auto">
                    <a:xfrm>
                      <a:off x="0" y="0"/>
                      <a:ext cx="1758843" cy="177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60478" w:rsidRDefault="00E60478" w:rsidP="003D6EFA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noProof/>
          <w:sz w:val="22"/>
          <w:szCs w:val="22"/>
          <w:lang w:val="en-GB"/>
        </w:rPr>
      </w:pPr>
    </w:p>
    <w:p w:rsidR="003D6EFA" w:rsidRDefault="003D6EFA" w:rsidP="003D6EFA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:rsidR="003D6EFA" w:rsidRDefault="003D6EFA" w:rsidP="003D6EFA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3D6EFA" w:rsidRDefault="003D6EFA" w:rsidP="003D6EFA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AC62FF" w:rsidRDefault="00AC62FF" w:rsidP="001E7BD7">
      <w:pPr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3D6EFA" w:rsidRDefault="003D6EFA" w:rsidP="001E7BD7">
      <w:pPr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3D6EFA" w:rsidRPr="00AC62FF" w:rsidRDefault="003D6EFA" w:rsidP="001E7BD7">
      <w:pPr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6735D8" w:rsidRPr="00C8510D" w:rsidTr="00A2451D">
        <w:tc>
          <w:tcPr>
            <w:tcW w:w="4956" w:type="dxa"/>
            <w:vAlign w:val="center"/>
          </w:tcPr>
          <w:p w:rsidR="006735D8" w:rsidRDefault="00A2451D" w:rsidP="00A2451D">
            <w:pPr>
              <w:spacing w:after="12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inline distT="0" distB="0" distL="0" distR="0">
                  <wp:extent cx="2747154" cy="1660601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24"/>
                          <a:stretch/>
                        </pic:blipFill>
                        <pic:spPr bwMode="auto">
                          <a:xfrm>
                            <a:off x="0" y="0"/>
                            <a:ext cx="2747780" cy="1660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:rsidR="006735D8" w:rsidRDefault="001A604E" w:rsidP="00A2451D">
            <w:pPr>
              <w:spacing w:before="240" w:after="120" w:line="360" w:lineRule="auto"/>
              <w:ind w:left="175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56407">
              <w:rPr>
                <w:rFonts w:ascii="Arial" w:hAnsi="Arial" w:cs="Arial"/>
                <w:sz w:val="22"/>
                <w:szCs w:val="22"/>
                <w:lang w:val="en-GB"/>
              </w:rPr>
              <w:t>BFT HJD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, the </w:t>
            </w:r>
            <w:r w:rsidR="006735D8">
              <w:rPr>
                <w:rFonts w:ascii="Arial" w:hAnsi="Arial" w:cs="Arial"/>
                <w:sz w:val="22"/>
                <w:szCs w:val="22"/>
                <w:lang w:val="en-GB"/>
              </w:rPr>
              <w:t>electromechanical unit for Dacia Duster</w:t>
            </w:r>
          </w:p>
        </w:tc>
      </w:tr>
    </w:tbl>
    <w:p w:rsidR="00AC62FF" w:rsidRPr="00AC62FF" w:rsidRDefault="00AC62FF" w:rsidP="001E7BD7">
      <w:pPr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AC62FF" w:rsidRDefault="00AC62FF" w:rsidP="001E7BD7">
      <w:pPr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3D6EFA" w:rsidRPr="00AC62FF" w:rsidRDefault="003D6EFA" w:rsidP="001E7BD7">
      <w:pPr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BD7AC0" w:rsidRDefault="00BD7AC0" w:rsidP="001E7BD7">
      <w:pPr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"/>
        <w:tblW w:w="10343" w:type="dxa"/>
        <w:tblLayout w:type="fixed"/>
        <w:tblLook w:val="04A0" w:firstRow="1" w:lastRow="0" w:firstColumn="1" w:lastColumn="0" w:noHBand="0" w:noVBand="1"/>
      </w:tblPr>
      <w:tblGrid>
        <w:gridCol w:w="7508"/>
        <w:gridCol w:w="425"/>
        <w:gridCol w:w="993"/>
        <w:gridCol w:w="1417"/>
      </w:tblGrid>
      <w:tr w:rsidR="00BD7AC0" w:rsidTr="00536CE1">
        <w:tc>
          <w:tcPr>
            <w:tcW w:w="7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7AC0" w:rsidRPr="0027595E" w:rsidRDefault="00BD7AC0" w:rsidP="00536CE1">
            <w:pPr>
              <w:tabs>
                <w:tab w:val="left" w:pos="1560"/>
              </w:tabs>
              <w:rPr>
                <w:rFonts w:ascii="Calibri Light" w:hAnsi="Calibri Light"/>
                <w:sz w:val="20"/>
                <w:lang w:val="en-US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C0AECF" wp14:editId="7CFF2AD7">
                      <wp:simplePos x="0" y="0"/>
                      <wp:positionH relativeFrom="margin">
                        <wp:posOffset>-334645</wp:posOffset>
                      </wp:positionH>
                      <wp:positionV relativeFrom="paragraph">
                        <wp:posOffset>-154305</wp:posOffset>
                      </wp:positionV>
                      <wp:extent cx="6858000" cy="6985"/>
                      <wp:effectExtent l="0" t="0" r="19050" b="31115"/>
                      <wp:wrapNone/>
                      <wp:docPr id="29" name="Connettore diritt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58000" cy="6985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8EC1E3" id="Connettore diritto 2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35pt,-12.15pt" to="513.65pt,-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" strokecolor="#4a7ebb" strokeweight=".25pt">
                      <w10:wrap anchorx="margin"/>
                    </v:line>
                  </w:pict>
                </mc:Fallback>
              </mc:AlternateContent>
            </w:r>
            <w:r w:rsidRPr="0027595E">
              <w:rPr>
                <w:rFonts w:asciiTheme="minorHAnsi" w:hAnsiTheme="minorHAnsi"/>
                <w:b/>
                <w:bCs/>
                <w:sz w:val="20"/>
                <w:lang w:val="en-US"/>
              </w:rPr>
              <w:t>MTA S.p.A</w:t>
            </w:r>
            <w:r>
              <w:rPr>
                <w:rFonts w:asciiTheme="minorHAnsi" w:hAnsiTheme="minorHAnsi"/>
                <w:b/>
                <w:bCs/>
                <w:sz w:val="20"/>
                <w:lang w:val="en-US"/>
              </w:rPr>
              <w:t xml:space="preserve">. </w:t>
            </w:r>
            <w:r w:rsidRPr="0027595E">
              <w:rPr>
                <w:rFonts w:ascii="Calibri Light" w:hAnsi="Calibri Light"/>
                <w:sz w:val="20"/>
                <w:lang w:val="en-US"/>
              </w:rPr>
              <w:t>is a global leader in the development and production of a wide range of electromechanical and electronic products developed internally</w:t>
            </w:r>
            <w:r w:rsidRPr="0027595E">
              <w:rPr>
                <w:rFonts w:ascii="Calibri Light" w:hAnsi="Calibri Light" w:cs="Tahoma"/>
                <w:sz w:val="20"/>
                <w:lang w:val="en-US"/>
              </w:rPr>
              <w:t xml:space="preserve"> </w:t>
            </w:r>
            <w:r w:rsidRPr="0027595E">
              <w:rPr>
                <w:rFonts w:ascii="Calibri Light" w:hAnsi="Calibri Light"/>
                <w:sz w:val="20"/>
                <w:lang w:val="en-US"/>
              </w:rPr>
              <w:t xml:space="preserve">for the primary manufacturers of cars, motorcycles, tractors, and heavy vehicles. </w:t>
            </w:r>
          </w:p>
          <w:p w:rsidR="00BD7AC0" w:rsidRPr="0027595E" w:rsidRDefault="00BD7AC0" w:rsidP="00536CE1">
            <w:pPr>
              <w:tabs>
                <w:tab w:val="left" w:pos="1560"/>
              </w:tabs>
              <w:rPr>
                <w:rFonts w:ascii="Calibri Light" w:hAnsi="Calibri Light"/>
                <w:sz w:val="20"/>
                <w:lang w:val="en-US"/>
              </w:rPr>
            </w:pPr>
            <w:r w:rsidRPr="0027595E">
              <w:rPr>
                <w:rFonts w:ascii="Calibri Light" w:hAnsi="Calibri Light"/>
                <w:sz w:val="20"/>
                <w:lang w:val="en-US"/>
              </w:rPr>
              <w:t>Founded</w:t>
            </w:r>
            <w:r w:rsidRPr="0027595E">
              <w:rPr>
                <w:rFonts w:ascii="Calibri Light" w:hAnsi="Calibri Light" w:cs="Tahoma"/>
                <w:sz w:val="20"/>
                <w:lang w:val="en-US"/>
              </w:rPr>
              <w:t xml:space="preserve"> </w:t>
            </w:r>
            <w:r w:rsidRPr="0027595E">
              <w:rPr>
                <w:rFonts w:ascii="Calibri Light" w:hAnsi="Calibri Light"/>
                <w:sz w:val="20"/>
                <w:lang w:val="en-US"/>
              </w:rPr>
              <w:t>in 1954, MTA has two production sites in Italy (</w:t>
            </w:r>
            <w:proofErr w:type="spellStart"/>
            <w:r w:rsidRPr="0027595E">
              <w:rPr>
                <w:rFonts w:ascii="Calibri Light" w:hAnsi="Calibri Light"/>
                <w:sz w:val="20"/>
                <w:lang w:val="en-US"/>
              </w:rPr>
              <w:t>Codogno</w:t>
            </w:r>
            <w:proofErr w:type="spellEnd"/>
            <w:r w:rsidRPr="0027595E">
              <w:rPr>
                <w:rFonts w:ascii="Calibri Light" w:hAnsi="Calibri Light"/>
                <w:sz w:val="20"/>
                <w:lang w:val="en-US"/>
              </w:rPr>
              <w:t xml:space="preserve"> and </w:t>
            </w:r>
            <w:proofErr w:type="spellStart"/>
            <w:r w:rsidRPr="0027595E">
              <w:rPr>
                <w:rFonts w:ascii="Calibri Light" w:hAnsi="Calibri Light"/>
                <w:sz w:val="20"/>
                <w:lang w:val="en-US"/>
              </w:rPr>
              <w:t>Rolo</w:t>
            </w:r>
            <w:proofErr w:type="spellEnd"/>
            <w:r w:rsidRPr="0027595E">
              <w:rPr>
                <w:rFonts w:ascii="Calibri Light" w:hAnsi="Calibri Light"/>
                <w:sz w:val="20"/>
                <w:lang w:val="en-US"/>
              </w:rPr>
              <w:t xml:space="preserve">), </w:t>
            </w:r>
          </w:p>
          <w:p w:rsidR="00BD7AC0" w:rsidRPr="0027595E" w:rsidRDefault="00BD7AC0" w:rsidP="00536CE1">
            <w:pPr>
              <w:tabs>
                <w:tab w:val="left" w:pos="1560"/>
              </w:tabs>
              <w:rPr>
                <w:rFonts w:ascii="Calibri Light" w:hAnsi="Calibri Light" w:cs="Tahoma"/>
                <w:sz w:val="20"/>
                <w:lang w:val="en-US"/>
              </w:rPr>
            </w:pPr>
            <w:r w:rsidRPr="0027595E">
              <w:rPr>
                <w:rFonts w:ascii="Calibri Light" w:hAnsi="Calibri Light"/>
                <w:sz w:val="20"/>
                <w:lang w:val="en-US"/>
              </w:rPr>
              <w:t>8 foreign sites, sales of about €198 million, and 1,330 employees.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7AC0" w:rsidRPr="00BD7AC0" w:rsidRDefault="00BD7AC0" w:rsidP="00536CE1">
            <w:pPr>
              <w:tabs>
                <w:tab w:val="left" w:pos="1560"/>
              </w:tabs>
              <w:jc w:val="both"/>
              <w:rPr>
                <w:rFonts w:asciiTheme="minorHAnsi" w:hAnsiTheme="minorHAnsi"/>
                <w:b/>
                <w:sz w:val="20"/>
                <w:lang w:val="en-GB"/>
              </w:rPr>
            </w:pPr>
          </w:p>
          <w:p w:rsidR="00BD7AC0" w:rsidRDefault="00BD7AC0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TO LEARN MORE</w:t>
            </w:r>
          </w:p>
        </w:tc>
      </w:tr>
      <w:tr w:rsidR="00BD7AC0" w:rsidTr="00536CE1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D7AC0" w:rsidRDefault="00BD7AC0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D7AC0" w:rsidRDefault="00BD7AC0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641B6CAB" wp14:editId="0B24D1FD">
                  <wp:extent cx="100426" cy="105673"/>
                  <wp:effectExtent l="0" t="0" r="0" b="8890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ito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56" cy="107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D7AC0" w:rsidRDefault="00BD7AC0" w:rsidP="00536CE1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Website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D7AC0" w:rsidRPr="00C81CB5" w:rsidRDefault="00474BC5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2" w:history="1">
              <w:r w:rsidR="00BD7AC0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www.mta.it</w:t>
              </w:r>
            </w:hyperlink>
          </w:p>
        </w:tc>
      </w:tr>
      <w:tr w:rsidR="00BD7AC0" w:rsidTr="00536CE1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D7AC0" w:rsidRDefault="00BD7AC0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D7AC0" w:rsidRDefault="00BD7AC0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1E987FAC" wp14:editId="5B66BC21">
                  <wp:extent cx="109538" cy="108812"/>
                  <wp:effectExtent l="0" t="0" r="5080" b="5715"/>
                  <wp:docPr id="25" name="Immagin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inkedin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8" cy="108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D7AC0" w:rsidRPr="0082196C" w:rsidRDefault="00BD7AC0" w:rsidP="00536CE1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D7AC0" w:rsidRPr="00C81CB5" w:rsidRDefault="00474BC5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4" w:history="1">
              <w:proofErr w:type="spellStart"/>
              <w:r w:rsidR="00BD7AC0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</w:t>
              </w:r>
              <w:proofErr w:type="spellEnd"/>
              <w:r w:rsidR="00BD7AC0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-s-p-a-</w:t>
              </w:r>
            </w:hyperlink>
          </w:p>
        </w:tc>
      </w:tr>
      <w:tr w:rsidR="00BD7AC0" w:rsidTr="00536CE1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D7AC0" w:rsidRDefault="00BD7AC0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D7AC0" w:rsidRDefault="00BD7AC0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0F4C253E" wp14:editId="773D7A89">
                  <wp:extent cx="109220" cy="109220"/>
                  <wp:effectExtent l="0" t="0" r="5080" b="5080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B-f-Logo__blue_512 copia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" cy="109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D7AC0" w:rsidRPr="0082196C" w:rsidRDefault="00BD7AC0" w:rsidP="00536CE1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D7AC0" w:rsidRPr="00C81CB5" w:rsidRDefault="00474BC5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6" w:history="1">
              <w:r w:rsidR="00BD7AC0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MTA.GROUP</w:t>
              </w:r>
            </w:hyperlink>
          </w:p>
        </w:tc>
      </w:tr>
      <w:tr w:rsidR="00BD7AC0" w:rsidTr="00536CE1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D7AC0" w:rsidRDefault="00BD7AC0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D7AC0" w:rsidRPr="004327B3" w:rsidRDefault="00BD7AC0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bCs/>
                <w:noProof/>
                <w:sz w:val="20"/>
              </w:rPr>
              <w:drawing>
                <wp:inline distT="0" distB="0" distL="0" distR="0" wp14:anchorId="0C92D0C2" wp14:editId="775F6708">
                  <wp:extent cx="132715" cy="93345"/>
                  <wp:effectExtent l="0" t="0" r="635" b="1905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YouTube-icon-full_color copia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" cy="9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D7AC0" w:rsidRPr="0082196C" w:rsidRDefault="00BD7AC0" w:rsidP="00536CE1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D7AC0" w:rsidRPr="00C81CB5" w:rsidRDefault="00474BC5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8" w:history="1">
              <w:proofErr w:type="spellStart"/>
              <w:r w:rsidR="00BD7AC0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MTAItaly</w:t>
              </w:r>
              <w:proofErr w:type="spellEnd"/>
            </w:hyperlink>
          </w:p>
        </w:tc>
      </w:tr>
    </w:tbl>
    <w:p w:rsidR="00BD7AC0" w:rsidRDefault="00BD7AC0" w:rsidP="00BD7AC0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</w:p>
    <w:p w:rsidR="00BD7AC0" w:rsidRDefault="00BD7AC0" w:rsidP="00BD7AC0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00A5D4" wp14:editId="0DE67CAD">
                <wp:simplePos x="0" y="0"/>
                <wp:positionH relativeFrom="margin">
                  <wp:posOffset>-263525</wp:posOffset>
                </wp:positionH>
                <wp:positionV relativeFrom="paragraph">
                  <wp:posOffset>154305</wp:posOffset>
                </wp:positionV>
                <wp:extent cx="6858000" cy="6985"/>
                <wp:effectExtent l="0" t="0" r="19050" b="31115"/>
                <wp:wrapNone/>
                <wp:docPr id="8" name="Connettore dirit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858000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8DE671" id="Connettore diritto 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75pt,12.15pt" to="519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p w:rsidR="00BD7AC0" w:rsidRDefault="00BD7AC0" w:rsidP="00BD7AC0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US"/>
        </w:rPr>
      </w:pPr>
    </w:p>
    <w:p w:rsidR="00BD7AC0" w:rsidRPr="003D6EFA" w:rsidRDefault="00BD7AC0" w:rsidP="00BD7AC0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 w:rsidRPr="003D6EFA">
        <w:rPr>
          <w:rFonts w:asciiTheme="minorHAnsi" w:hAnsiTheme="minorHAnsi" w:cs="Arial"/>
          <w:b/>
          <w:color w:val="000000" w:themeColor="text1"/>
          <w:sz w:val="20"/>
        </w:rPr>
        <w:t>COM</w:t>
      </w:r>
      <w:r w:rsidRPr="003D6EFA">
        <w:rPr>
          <w:rFonts w:asciiTheme="minorHAnsi" w:hAnsiTheme="minorHAnsi" w:cs="Arial"/>
          <w:b/>
          <w:color w:val="ED1C24"/>
        </w:rPr>
        <w:t>&amp;</w:t>
      </w:r>
      <w:r w:rsidRPr="003D6EFA">
        <w:rPr>
          <w:rFonts w:asciiTheme="minorHAnsi" w:hAnsiTheme="minorHAnsi" w:cs="Arial"/>
          <w:b/>
          <w:color w:val="000000" w:themeColor="text1"/>
          <w:sz w:val="20"/>
        </w:rPr>
        <w:t>MEDIA –</w:t>
      </w:r>
      <w:proofErr w:type="spellStart"/>
      <w:r w:rsidRPr="003D6EFA">
        <w:rPr>
          <w:rFonts w:ascii="Calibri Light" w:hAnsi="Calibri Light" w:cs="Arial"/>
          <w:color w:val="000000" w:themeColor="text1"/>
          <w:sz w:val="20"/>
        </w:rPr>
        <w:t>MTA’s</w:t>
      </w:r>
      <w:proofErr w:type="spellEnd"/>
      <w:r w:rsidRPr="003D6EFA">
        <w:rPr>
          <w:rFonts w:ascii="Calibri Light" w:hAnsi="Calibri Light" w:cs="Arial"/>
          <w:color w:val="000000" w:themeColor="text1"/>
          <w:sz w:val="20"/>
        </w:rPr>
        <w:t xml:space="preserve"> Press Office</w:t>
      </w:r>
    </w:p>
    <w:p w:rsidR="00BD7AC0" w:rsidRPr="007139D7" w:rsidRDefault="00BD7AC0" w:rsidP="00BD7AC0">
      <w:pPr>
        <w:jc w:val="right"/>
        <w:rPr>
          <w:rFonts w:ascii="Calibri Light" w:hAnsi="Calibri Light" w:cs="Arial"/>
          <w:color w:val="000000" w:themeColor="text1"/>
          <w:sz w:val="20"/>
        </w:rPr>
      </w:pPr>
      <w:r w:rsidRPr="007139D7">
        <w:rPr>
          <w:rFonts w:ascii="Calibri Light" w:hAnsi="Calibri Light" w:cs="Arial"/>
          <w:color w:val="000000" w:themeColor="text1"/>
          <w:sz w:val="20"/>
        </w:rPr>
        <w:t xml:space="preserve">Barbara Maggi </w:t>
      </w:r>
      <w:r>
        <w:rPr>
          <w:rFonts w:ascii="Calibri Light" w:hAnsi="Calibri Light" w:cs="Arial"/>
          <w:color w:val="000000" w:themeColor="text1"/>
          <w:sz w:val="20"/>
        </w:rPr>
        <w:t>–</w:t>
      </w:r>
      <w:r w:rsidRPr="007139D7">
        <w:rPr>
          <w:rFonts w:ascii="Calibri Light" w:hAnsi="Calibri Light" w:cs="Arial"/>
          <w:color w:val="000000" w:themeColor="text1"/>
          <w:sz w:val="20"/>
        </w:rPr>
        <w:t xml:space="preserve"> Silvia Casazza</w:t>
      </w:r>
    </w:p>
    <w:p w:rsidR="00BD7AC0" w:rsidRPr="003D3731" w:rsidRDefault="00BD7AC0" w:rsidP="00BD7AC0">
      <w:pPr>
        <w:jc w:val="right"/>
        <w:rPr>
          <w:rFonts w:ascii="Calibri Light" w:hAnsi="Calibri Light" w:cs="Arial"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>T</w:t>
      </w:r>
      <w:r w:rsidRPr="007139D7">
        <w:rPr>
          <w:rFonts w:ascii="Calibri Light" w:hAnsi="Calibri Light" w:cs="Arial"/>
          <w:color w:val="000000" w:themeColor="text1"/>
          <w:sz w:val="20"/>
        </w:rPr>
        <w:t xml:space="preserve">. </w:t>
      </w:r>
      <w:r>
        <w:rPr>
          <w:rFonts w:ascii="Calibri Light" w:hAnsi="Calibri Light" w:cs="Arial"/>
          <w:color w:val="000000" w:themeColor="text1"/>
          <w:sz w:val="20"/>
        </w:rPr>
        <w:t xml:space="preserve">+39 </w:t>
      </w:r>
      <w:r w:rsidRPr="007139D7">
        <w:rPr>
          <w:rFonts w:ascii="Calibri Light" w:hAnsi="Calibri Light" w:cs="Arial"/>
          <w:color w:val="000000" w:themeColor="text1"/>
          <w:sz w:val="20"/>
        </w:rPr>
        <w:t>02 45409562</w:t>
      </w:r>
      <w:r w:rsidRPr="003D3731">
        <w:rPr>
          <w:rFonts w:ascii="Calibri Light" w:hAnsi="Calibri Light" w:cs="Arial"/>
          <w:color w:val="000000" w:themeColor="text1"/>
          <w:sz w:val="20"/>
        </w:rPr>
        <w:t xml:space="preserve"> </w:t>
      </w:r>
      <w:r>
        <w:rPr>
          <w:rFonts w:ascii="Calibri Light" w:hAnsi="Calibri Light" w:cs="Arial"/>
          <w:color w:val="000000" w:themeColor="text1"/>
          <w:sz w:val="20"/>
        </w:rPr>
        <w:t>uffstampa@comemedia.it</w:t>
      </w:r>
    </w:p>
    <w:p w:rsidR="00BD7AC0" w:rsidRPr="003D3731" w:rsidRDefault="00BD7AC0" w:rsidP="00BD7AC0">
      <w:pPr>
        <w:autoSpaceDE w:val="0"/>
        <w:autoSpaceDN w:val="0"/>
        <w:adjustRightInd w:val="0"/>
        <w:rPr>
          <w:rFonts w:ascii="Calibri Light" w:hAnsi="Calibri Light" w:cs="Arial"/>
          <w:color w:val="000000" w:themeColor="text1"/>
          <w:sz w:val="20"/>
        </w:rPr>
      </w:pPr>
    </w:p>
    <w:p w:rsidR="00BD7AC0" w:rsidRPr="003D6EFA" w:rsidRDefault="00BD7AC0" w:rsidP="001E7BD7">
      <w:pPr>
        <w:spacing w:after="120" w:line="360" w:lineRule="auto"/>
        <w:rPr>
          <w:rFonts w:ascii="Arial" w:hAnsi="Arial" w:cs="Arial"/>
          <w:sz w:val="22"/>
          <w:szCs w:val="22"/>
        </w:rPr>
      </w:pPr>
    </w:p>
    <w:sectPr w:rsidR="00BD7AC0" w:rsidRPr="003D6EFA" w:rsidSect="00982529">
      <w:headerReference w:type="default" r:id="rId19"/>
      <w:footerReference w:type="even" r:id="rId20"/>
      <w:footerReference w:type="default" r:id="rId21"/>
      <w:pgSz w:w="11899" w:h="16838" w:code="9"/>
      <w:pgMar w:top="1843" w:right="984" w:bottom="1701" w:left="993" w:header="709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5DE" w:rsidRDefault="00B005DE">
      <w:r>
        <w:separator/>
      </w:r>
    </w:p>
  </w:endnote>
  <w:endnote w:type="continuationSeparator" w:id="0">
    <w:p w:rsidR="00B005DE" w:rsidRDefault="00B0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Neue-Light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779" w:rsidRDefault="00DC6779">
    <w:pPr>
      <w:pStyle w:val="Pidipagina"/>
    </w:pPr>
    <w:r w:rsidRPr="00A43FBF">
      <w:rPr>
        <w:noProof/>
      </w:rPr>
      <w:drawing>
        <wp:inline distT="0" distB="0" distL="0" distR="0">
          <wp:extent cx="6300470" cy="738790"/>
          <wp:effectExtent l="19050" t="0" r="5080" b="0"/>
          <wp:docPr id="12" name="Immagine 1" descr="Piedino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edino Carta Intesta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11" t="16794" r="1743" b="18321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738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C4E" w:rsidRPr="00137C4E" w:rsidRDefault="00137C4E" w:rsidP="00137C4E">
    <w:pPr>
      <w:autoSpaceDE w:val="0"/>
      <w:autoSpaceDN w:val="0"/>
      <w:adjustRightInd w:val="0"/>
      <w:rPr>
        <w:rFonts w:ascii="Arial" w:hAnsi="Arial" w:cs="Arial"/>
        <w:color w:val="000000"/>
        <w:szCs w:val="24"/>
      </w:rPr>
    </w:pPr>
  </w:p>
  <w:p w:rsidR="004B0915" w:rsidRPr="004B0915" w:rsidRDefault="00137C4E" w:rsidP="004B0915">
    <w:pPr>
      <w:pStyle w:val="Pidipagina"/>
      <w:jc w:val="center"/>
      <w:rPr>
        <w:rFonts w:asciiTheme="minorHAnsi" w:hAnsiTheme="minorHAnsi" w:cs="Arial"/>
        <w:b/>
        <w:bCs/>
        <w:color w:val="1F487C"/>
        <w:sz w:val="16"/>
        <w:szCs w:val="16"/>
      </w:rPr>
    </w:pPr>
    <w:r w:rsidRPr="004B0915">
      <w:rPr>
        <w:rFonts w:asciiTheme="minorHAnsi" w:hAnsiTheme="minorHAnsi" w:cs="Arial"/>
        <w:b/>
        <w:bCs/>
        <w:color w:val="1F487C"/>
        <w:sz w:val="16"/>
        <w:szCs w:val="16"/>
      </w:rPr>
      <w:t>MTA S.p.A.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 xml:space="preserve">Sede: Italy | 26845 Codogno (LO) | V.le dell’Industria, 12 |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0377 4181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F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0377 418493 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>Unità locale: 42047 R</w:t>
    </w:r>
    <w:r w:rsidR="004B0915">
      <w:rPr>
        <w:rFonts w:ascii="Calibri Light" w:hAnsi="Calibri Light" w:cs="Arial"/>
        <w:color w:val="1F487C"/>
        <w:sz w:val="16"/>
        <w:szCs w:val="16"/>
      </w:rPr>
      <w:t>olo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 (RE) | Via dell’Ecologia, 3 |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0522 1827201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F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0522 1827266 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 xml:space="preserve">Capitale Sociale € 8.000.000 </w:t>
    </w:r>
    <w:proofErr w:type="spellStart"/>
    <w:r w:rsidRPr="004B0915">
      <w:rPr>
        <w:rFonts w:ascii="Calibri Light" w:hAnsi="Calibri Light" w:cs="Arial"/>
        <w:color w:val="1F487C"/>
        <w:sz w:val="16"/>
        <w:szCs w:val="16"/>
      </w:rPr>
      <w:t>int</w:t>
    </w:r>
    <w:proofErr w:type="spellEnd"/>
    <w:r w:rsidRPr="004B0915">
      <w:rPr>
        <w:rFonts w:ascii="Calibri Light" w:hAnsi="Calibri Light" w:cs="Arial"/>
        <w:color w:val="1F487C"/>
        <w:sz w:val="16"/>
        <w:szCs w:val="16"/>
      </w:rPr>
      <w:t xml:space="preserve">. </w:t>
    </w:r>
    <w:proofErr w:type="spellStart"/>
    <w:r w:rsidRPr="004B0915">
      <w:rPr>
        <w:rFonts w:ascii="Calibri Light" w:hAnsi="Calibri Light" w:cs="Arial"/>
        <w:color w:val="1F487C"/>
        <w:sz w:val="16"/>
        <w:szCs w:val="16"/>
      </w:rPr>
      <w:t>vers</w:t>
    </w:r>
    <w:proofErr w:type="spellEnd"/>
    <w:r w:rsidRPr="004B0915">
      <w:rPr>
        <w:rFonts w:ascii="Calibri Light" w:hAnsi="Calibri Light" w:cs="Arial"/>
        <w:color w:val="1F487C"/>
        <w:sz w:val="16"/>
        <w:szCs w:val="16"/>
      </w:rPr>
      <w:t>. | Registro</w:t>
    </w:r>
    <w:r w:rsidR="004B0915">
      <w:rPr>
        <w:rFonts w:ascii="Calibri Light" w:hAnsi="Calibri Light" w:cs="Arial"/>
        <w:color w:val="1F487C"/>
        <w:sz w:val="16"/>
        <w:szCs w:val="16"/>
      </w:rPr>
      <w:t xml:space="preserve"> delle Imprese, C.F. e P. IVA IT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00828540153 | REA 869922 | N. Meccanografico LO 000520 </w:t>
    </w:r>
  </w:p>
  <w:p w:rsidR="00DC6779" w:rsidRPr="004B0915" w:rsidRDefault="00137C4E" w:rsidP="004B0915">
    <w:pPr>
      <w:pStyle w:val="Pidipagina"/>
      <w:jc w:val="center"/>
      <w:rPr>
        <w:rFonts w:ascii="Calibri Light" w:hAnsi="Calibri Light"/>
        <w:noProof/>
      </w:rPr>
    </w:pPr>
    <w:r w:rsidRPr="004B0915">
      <w:rPr>
        <w:rFonts w:ascii="Calibri Light" w:hAnsi="Calibri Light" w:cs="Arial"/>
        <w:color w:val="1F487C"/>
        <w:sz w:val="16"/>
        <w:szCs w:val="16"/>
      </w:rPr>
      <w:t xml:space="preserve">infoitaly@mta.it </w:t>
    </w:r>
    <w:r w:rsidR="004B0915">
      <w:rPr>
        <w:rFonts w:ascii="Calibri Light" w:hAnsi="Calibri Light" w:cs="Arial"/>
        <w:color w:val="1F487C"/>
        <w:sz w:val="16"/>
        <w:szCs w:val="16"/>
      </w:rPr>
      <w:t>–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 www.mta.it </w:t>
    </w:r>
  </w:p>
  <w:p w:rsidR="004B0915" w:rsidRPr="005230D8" w:rsidRDefault="004B0915" w:rsidP="004B0915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-116205</wp:posOffset>
              </wp:positionH>
              <wp:positionV relativeFrom="paragraph">
                <wp:posOffset>50483</wp:posOffset>
              </wp:positionV>
              <wp:extent cx="6686550" cy="114300"/>
              <wp:effectExtent l="0" t="0" r="0" b="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86550" cy="114300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410F675" id="Rettangolo 2" o:spid="_x0000_s1026" style="position:absolute;margin-left:-9.15pt;margin-top:4pt;width:526.5pt;height:9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" fillcolor="#004b87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5DE" w:rsidRDefault="00B005DE">
      <w:r>
        <w:separator/>
      </w:r>
    </w:p>
  </w:footnote>
  <w:footnote w:type="continuationSeparator" w:id="0">
    <w:p w:rsidR="00B005DE" w:rsidRDefault="00B00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779" w:rsidRPr="00B918DD" w:rsidRDefault="006E6AEC" w:rsidP="00EB314B">
    <w:pPr>
      <w:rPr>
        <w:color w:val="004C87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779">
      <w:rPr>
        <w:sz w:val="36"/>
        <w:szCs w:val="36"/>
      </w:rPr>
      <w:tab/>
    </w:r>
  </w:p>
  <w:p w:rsidR="00DC6779" w:rsidRPr="00B31D35" w:rsidRDefault="001F26E6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 w:rsidRPr="00B31D35"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6CFAC81" wp14:editId="0819926E">
              <wp:simplePos x="0" y="0"/>
              <wp:positionH relativeFrom="margin">
                <wp:posOffset>-288290</wp:posOffset>
              </wp:positionH>
              <wp:positionV relativeFrom="paragraph">
                <wp:posOffset>198942</wp:posOffset>
              </wp:positionV>
              <wp:extent cx="6858000" cy="7200"/>
              <wp:effectExtent l="0" t="0" r="19050" b="31115"/>
              <wp:wrapNone/>
              <wp:docPr id="1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58000" cy="720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0E3273" id="Connettore diritto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" strokecolor="#4579b8 [3044]" strokeweight=".25pt">
              <w10:wrap anchorx="margin"/>
            </v:line>
          </w:pict>
        </mc:Fallback>
      </mc:AlternateContent>
    </w:r>
    <w:r w:rsidR="00B31D35" w:rsidRPr="00B31D35">
      <w:rPr>
        <w:rFonts w:ascii="Calibri Light" w:hAnsi="Calibri Light"/>
        <w:color w:val="004B87"/>
        <w:sz w:val="20"/>
        <w:szCs w:val="36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6pt;height:36pt;visibility:visible;mso-wrap-style:square" o:bullet="t">
        <v:imagedata r:id="rId1" o:title=""/>
      </v:shape>
    </w:pict>
  </w:numPicBullet>
  <w:numPicBullet w:numPicBulletId="1">
    <w:pict>
      <v:shape id="_x0000_i1057" type="#_x0000_t75" style="width:1022.1pt;height:10in;visibility:visible;mso-wrap-style:square" o:bullet="t">
        <v:imagedata r:id="rId2" o:title=""/>
      </v:shape>
    </w:pic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3CC2222D"/>
    <w:multiLevelType w:val="hybridMultilevel"/>
    <w:tmpl w:val="8BCA267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004b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DFC"/>
    <w:rsid w:val="00000E6D"/>
    <w:rsid w:val="000034BF"/>
    <w:rsid w:val="00020AC7"/>
    <w:rsid w:val="00046002"/>
    <w:rsid w:val="00046FF2"/>
    <w:rsid w:val="0005339B"/>
    <w:rsid w:val="000660A7"/>
    <w:rsid w:val="0009058D"/>
    <w:rsid w:val="00090FCF"/>
    <w:rsid w:val="00094AD9"/>
    <w:rsid w:val="000A5A4C"/>
    <w:rsid w:val="000C0452"/>
    <w:rsid w:val="000C1DB6"/>
    <w:rsid w:val="000C5E6C"/>
    <w:rsid w:val="000C60B3"/>
    <w:rsid w:val="000D205B"/>
    <w:rsid w:val="000D285B"/>
    <w:rsid w:val="000D4EA6"/>
    <w:rsid w:val="000F790E"/>
    <w:rsid w:val="00121010"/>
    <w:rsid w:val="0012213E"/>
    <w:rsid w:val="001249FB"/>
    <w:rsid w:val="00134660"/>
    <w:rsid w:val="0013533E"/>
    <w:rsid w:val="00137C4E"/>
    <w:rsid w:val="00147996"/>
    <w:rsid w:val="001538BE"/>
    <w:rsid w:val="0015448C"/>
    <w:rsid w:val="00175400"/>
    <w:rsid w:val="00180B11"/>
    <w:rsid w:val="00181617"/>
    <w:rsid w:val="001A604E"/>
    <w:rsid w:val="001A64E8"/>
    <w:rsid w:val="001B06AF"/>
    <w:rsid w:val="001B2948"/>
    <w:rsid w:val="001B46FC"/>
    <w:rsid w:val="001B5276"/>
    <w:rsid w:val="001C0E9D"/>
    <w:rsid w:val="001E7BD7"/>
    <w:rsid w:val="001F1723"/>
    <w:rsid w:val="001F26E6"/>
    <w:rsid w:val="001F67CE"/>
    <w:rsid w:val="002003EA"/>
    <w:rsid w:val="00210316"/>
    <w:rsid w:val="00211DAF"/>
    <w:rsid w:val="002242BB"/>
    <w:rsid w:val="0024651B"/>
    <w:rsid w:val="0026312C"/>
    <w:rsid w:val="00263DF3"/>
    <w:rsid w:val="00264C9F"/>
    <w:rsid w:val="00274282"/>
    <w:rsid w:val="00283AEC"/>
    <w:rsid w:val="0028563E"/>
    <w:rsid w:val="002929CC"/>
    <w:rsid w:val="00293589"/>
    <w:rsid w:val="00293CA3"/>
    <w:rsid w:val="002A4076"/>
    <w:rsid w:val="002C3715"/>
    <w:rsid w:val="002D31C2"/>
    <w:rsid w:val="002F3448"/>
    <w:rsid w:val="00322128"/>
    <w:rsid w:val="0033783C"/>
    <w:rsid w:val="00345A0E"/>
    <w:rsid w:val="00365206"/>
    <w:rsid w:val="00382D36"/>
    <w:rsid w:val="003931DD"/>
    <w:rsid w:val="00393C41"/>
    <w:rsid w:val="003A0F47"/>
    <w:rsid w:val="003A74BF"/>
    <w:rsid w:val="003B1AE9"/>
    <w:rsid w:val="003B34E6"/>
    <w:rsid w:val="003C25CA"/>
    <w:rsid w:val="003D3731"/>
    <w:rsid w:val="003D58C0"/>
    <w:rsid w:val="003D6DFC"/>
    <w:rsid w:val="003D6EFA"/>
    <w:rsid w:val="003F7D09"/>
    <w:rsid w:val="004038FB"/>
    <w:rsid w:val="00403D68"/>
    <w:rsid w:val="00411CA6"/>
    <w:rsid w:val="0041404F"/>
    <w:rsid w:val="00425754"/>
    <w:rsid w:val="00426A35"/>
    <w:rsid w:val="004327B3"/>
    <w:rsid w:val="00434BBC"/>
    <w:rsid w:val="004419E0"/>
    <w:rsid w:val="00441EBA"/>
    <w:rsid w:val="0044278D"/>
    <w:rsid w:val="00442AEE"/>
    <w:rsid w:val="00452F18"/>
    <w:rsid w:val="00455AD0"/>
    <w:rsid w:val="00467336"/>
    <w:rsid w:val="00471225"/>
    <w:rsid w:val="00480B8E"/>
    <w:rsid w:val="004837A4"/>
    <w:rsid w:val="004A4F69"/>
    <w:rsid w:val="004A6859"/>
    <w:rsid w:val="004B0915"/>
    <w:rsid w:val="004B677C"/>
    <w:rsid w:val="004B6C9F"/>
    <w:rsid w:val="004C266A"/>
    <w:rsid w:val="004D7AC3"/>
    <w:rsid w:val="004E149D"/>
    <w:rsid w:val="004E18C3"/>
    <w:rsid w:val="004F29FA"/>
    <w:rsid w:val="004F2E40"/>
    <w:rsid w:val="004F6F89"/>
    <w:rsid w:val="005027E4"/>
    <w:rsid w:val="00502DD2"/>
    <w:rsid w:val="005034BF"/>
    <w:rsid w:val="005064B6"/>
    <w:rsid w:val="005069B4"/>
    <w:rsid w:val="00507717"/>
    <w:rsid w:val="00521F04"/>
    <w:rsid w:val="005230D8"/>
    <w:rsid w:val="00525913"/>
    <w:rsid w:val="00530749"/>
    <w:rsid w:val="0053109F"/>
    <w:rsid w:val="005401DC"/>
    <w:rsid w:val="00542239"/>
    <w:rsid w:val="00545629"/>
    <w:rsid w:val="00546B52"/>
    <w:rsid w:val="00552FDE"/>
    <w:rsid w:val="00555DF2"/>
    <w:rsid w:val="00556407"/>
    <w:rsid w:val="00556C2D"/>
    <w:rsid w:val="00577B7B"/>
    <w:rsid w:val="005818EE"/>
    <w:rsid w:val="00593D44"/>
    <w:rsid w:val="005A2688"/>
    <w:rsid w:val="005C0993"/>
    <w:rsid w:val="005F4317"/>
    <w:rsid w:val="005F4D7F"/>
    <w:rsid w:val="005F7CA0"/>
    <w:rsid w:val="006025A5"/>
    <w:rsid w:val="00620A65"/>
    <w:rsid w:val="00622354"/>
    <w:rsid w:val="00622F52"/>
    <w:rsid w:val="006352EE"/>
    <w:rsid w:val="00647488"/>
    <w:rsid w:val="00656B69"/>
    <w:rsid w:val="00657B92"/>
    <w:rsid w:val="00664CDE"/>
    <w:rsid w:val="00664F42"/>
    <w:rsid w:val="006735D8"/>
    <w:rsid w:val="0068688A"/>
    <w:rsid w:val="00687CC5"/>
    <w:rsid w:val="006934F0"/>
    <w:rsid w:val="00697983"/>
    <w:rsid w:val="006A0A45"/>
    <w:rsid w:val="006A1743"/>
    <w:rsid w:val="006A1E15"/>
    <w:rsid w:val="006A76D2"/>
    <w:rsid w:val="006B240B"/>
    <w:rsid w:val="006D3A4F"/>
    <w:rsid w:val="006E6AEC"/>
    <w:rsid w:val="006E77AF"/>
    <w:rsid w:val="006F08AE"/>
    <w:rsid w:val="006F1327"/>
    <w:rsid w:val="006F5431"/>
    <w:rsid w:val="007139D7"/>
    <w:rsid w:val="00715119"/>
    <w:rsid w:val="00725662"/>
    <w:rsid w:val="00754068"/>
    <w:rsid w:val="0075474A"/>
    <w:rsid w:val="00762B60"/>
    <w:rsid w:val="0076306D"/>
    <w:rsid w:val="00767579"/>
    <w:rsid w:val="00775C24"/>
    <w:rsid w:val="00776C9C"/>
    <w:rsid w:val="00780590"/>
    <w:rsid w:val="007817C4"/>
    <w:rsid w:val="0078773E"/>
    <w:rsid w:val="007B323F"/>
    <w:rsid w:val="007E0A72"/>
    <w:rsid w:val="007E2939"/>
    <w:rsid w:val="007F0B73"/>
    <w:rsid w:val="007F423B"/>
    <w:rsid w:val="007F6645"/>
    <w:rsid w:val="00810259"/>
    <w:rsid w:val="008166B5"/>
    <w:rsid w:val="0082196C"/>
    <w:rsid w:val="00826377"/>
    <w:rsid w:val="008335C5"/>
    <w:rsid w:val="00840584"/>
    <w:rsid w:val="00842BA6"/>
    <w:rsid w:val="00846077"/>
    <w:rsid w:val="00847463"/>
    <w:rsid w:val="00850F10"/>
    <w:rsid w:val="00875F4B"/>
    <w:rsid w:val="008826F4"/>
    <w:rsid w:val="00885C98"/>
    <w:rsid w:val="008866DF"/>
    <w:rsid w:val="008911D2"/>
    <w:rsid w:val="008974BA"/>
    <w:rsid w:val="008A393C"/>
    <w:rsid w:val="008A5022"/>
    <w:rsid w:val="008A77B8"/>
    <w:rsid w:val="008B3FCF"/>
    <w:rsid w:val="008C178C"/>
    <w:rsid w:val="008C4241"/>
    <w:rsid w:val="008D4C77"/>
    <w:rsid w:val="008F714B"/>
    <w:rsid w:val="00905305"/>
    <w:rsid w:val="00910B28"/>
    <w:rsid w:val="00916714"/>
    <w:rsid w:val="00925256"/>
    <w:rsid w:val="009277B8"/>
    <w:rsid w:val="00933786"/>
    <w:rsid w:val="009435F7"/>
    <w:rsid w:val="009442D1"/>
    <w:rsid w:val="0094733B"/>
    <w:rsid w:val="0095095F"/>
    <w:rsid w:val="00951422"/>
    <w:rsid w:val="00953FBE"/>
    <w:rsid w:val="00972BCD"/>
    <w:rsid w:val="00974EBF"/>
    <w:rsid w:val="009761AD"/>
    <w:rsid w:val="00982529"/>
    <w:rsid w:val="009B3849"/>
    <w:rsid w:val="009B732E"/>
    <w:rsid w:val="009C39A2"/>
    <w:rsid w:val="009D4AC9"/>
    <w:rsid w:val="009F1BF9"/>
    <w:rsid w:val="00A00021"/>
    <w:rsid w:val="00A05D3C"/>
    <w:rsid w:val="00A2451D"/>
    <w:rsid w:val="00A27E0F"/>
    <w:rsid w:val="00A33541"/>
    <w:rsid w:val="00A345A9"/>
    <w:rsid w:val="00A35476"/>
    <w:rsid w:val="00A3669D"/>
    <w:rsid w:val="00A37DFE"/>
    <w:rsid w:val="00A43FBF"/>
    <w:rsid w:val="00A5744B"/>
    <w:rsid w:val="00A64B4E"/>
    <w:rsid w:val="00A73BD5"/>
    <w:rsid w:val="00A74EC0"/>
    <w:rsid w:val="00A90141"/>
    <w:rsid w:val="00A91A4D"/>
    <w:rsid w:val="00A95854"/>
    <w:rsid w:val="00A96C51"/>
    <w:rsid w:val="00AA28B8"/>
    <w:rsid w:val="00AA7166"/>
    <w:rsid w:val="00AB5895"/>
    <w:rsid w:val="00AC62FF"/>
    <w:rsid w:val="00AE0C83"/>
    <w:rsid w:val="00AE4DFC"/>
    <w:rsid w:val="00AE6A11"/>
    <w:rsid w:val="00AF21AB"/>
    <w:rsid w:val="00AF7412"/>
    <w:rsid w:val="00B005DE"/>
    <w:rsid w:val="00B03377"/>
    <w:rsid w:val="00B24A48"/>
    <w:rsid w:val="00B317B6"/>
    <w:rsid w:val="00B31D35"/>
    <w:rsid w:val="00B425F8"/>
    <w:rsid w:val="00B52E3E"/>
    <w:rsid w:val="00B54CC9"/>
    <w:rsid w:val="00B7013E"/>
    <w:rsid w:val="00B767D1"/>
    <w:rsid w:val="00B76A8E"/>
    <w:rsid w:val="00B85F5F"/>
    <w:rsid w:val="00B87385"/>
    <w:rsid w:val="00B92843"/>
    <w:rsid w:val="00B951D6"/>
    <w:rsid w:val="00B95EFB"/>
    <w:rsid w:val="00BA0098"/>
    <w:rsid w:val="00BA0B2D"/>
    <w:rsid w:val="00BA10D1"/>
    <w:rsid w:val="00BA44B2"/>
    <w:rsid w:val="00BB07EA"/>
    <w:rsid w:val="00BC7268"/>
    <w:rsid w:val="00BD3338"/>
    <w:rsid w:val="00BD7AC0"/>
    <w:rsid w:val="00BE2F17"/>
    <w:rsid w:val="00BE6CD4"/>
    <w:rsid w:val="00BE7E45"/>
    <w:rsid w:val="00BF3501"/>
    <w:rsid w:val="00C072DD"/>
    <w:rsid w:val="00C102C4"/>
    <w:rsid w:val="00C24460"/>
    <w:rsid w:val="00C26B3A"/>
    <w:rsid w:val="00C30152"/>
    <w:rsid w:val="00C41F34"/>
    <w:rsid w:val="00C43791"/>
    <w:rsid w:val="00C569BC"/>
    <w:rsid w:val="00C81CB5"/>
    <w:rsid w:val="00C8510D"/>
    <w:rsid w:val="00CA793C"/>
    <w:rsid w:val="00CD1D31"/>
    <w:rsid w:val="00CD20DE"/>
    <w:rsid w:val="00CE664D"/>
    <w:rsid w:val="00CE6D06"/>
    <w:rsid w:val="00D03DE6"/>
    <w:rsid w:val="00D152FD"/>
    <w:rsid w:val="00D23905"/>
    <w:rsid w:val="00D27562"/>
    <w:rsid w:val="00D32481"/>
    <w:rsid w:val="00D73FA3"/>
    <w:rsid w:val="00D7405F"/>
    <w:rsid w:val="00D90458"/>
    <w:rsid w:val="00D95F0C"/>
    <w:rsid w:val="00DA1E00"/>
    <w:rsid w:val="00DA2CEF"/>
    <w:rsid w:val="00DB0A9E"/>
    <w:rsid w:val="00DB5212"/>
    <w:rsid w:val="00DC5F74"/>
    <w:rsid w:val="00DC6779"/>
    <w:rsid w:val="00DD0B9A"/>
    <w:rsid w:val="00DD1A1C"/>
    <w:rsid w:val="00DD5C92"/>
    <w:rsid w:val="00DE27AD"/>
    <w:rsid w:val="00DE2893"/>
    <w:rsid w:val="00DF4212"/>
    <w:rsid w:val="00DF69EA"/>
    <w:rsid w:val="00E03982"/>
    <w:rsid w:val="00E04273"/>
    <w:rsid w:val="00E04A29"/>
    <w:rsid w:val="00E05266"/>
    <w:rsid w:val="00E05F3B"/>
    <w:rsid w:val="00E11193"/>
    <w:rsid w:val="00E16759"/>
    <w:rsid w:val="00E21D3A"/>
    <w:rsid w:val="00E30475"/>
    <w:rsid w:val="00E47AE4"/>
    <w:rsid w:val="00E47D3B"/>
    <w:rsid w:val="00E5789A"/>
    <w:rsid w:val="00E57E7C"/>
    <w:rsid w:val="00E60478"/>
    <w:rsid w:val="00E753D8"/>
    <w:rsid w:val="00E83DFD"/>
    <w:rsid w:val="00E92C71"/>
    <w:rsid w:val="00E97352"/>
    <w:rsid w:val="00EB314B"/>
    <w:rsid w:val="00EE53D9"/>
    <w:rsid w:val="00EF10FC"/>
    <w:rsid w:val="00F001CE"/>
    <w:rsid w:val="00F028E6"/>
    <w:rsid w:val="00F02B01"/>
    <w:rsid w:val="00F1095E"/>
    <w:rsid w:val="00F13D1B"/>
    <w:rsid w:val="00F17C3F"/>
    <w:rsid w:val="00F2077A"/>
    <w:rsid w:val="00F2299B"/>
    <w:rsid w:val="00F33D13"/>
    <w:rsid w:val="00F355F5"/>
    <w:rsid w:val="00F358F5"/>
    <w:rsid w:val="00F62027"/>
    <w:rsid w:val="00F632CB"/>
    <w:rsid w:val="00F647F3"/>
    <w:rsid w:val="00F861C4"/>
    <w:rsid w:val="00F94A10"/>
    <w:rsid w:val="00FA44DB"/>
    <w:rsid w:val="00FA56E1"/>
    <w:rsid w:val="00FC0401"/>
    <w:rsid w:val="00FC0E35"/>
    <w:rsid w:val="00FC110B"/>
    <w:rsid w:val="00FC3E02"/>
    <w:rsid w:val="00FC41B9"/>
    <w:rsid w:val="00FD3778"/>
    <w:rsid w:val="00FE2FC0"/>
    <w:rsid w:val="00FF2478"/>
    <w:rsid w:val="00FF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4b87"/>
    </o:shapedefaults>
    <o:shapelayout v:ext="edit">
      <o:idmap v:ext="edit" data="1"/>
    </o:shapelayout>
  </w:shapeDefaults>
  <w:doNotEmbedSmartTags/>
  <w:decimalSymbol w:val=","/>
  <w:listSeparator w:val=";"/>
  <w14:docId w14:val="01DCA89B"/>
  <w15:docId w15:val="{335C841E-BCF0-4077-9B3A-FAA411F8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D6DFC"/>
    <w:rPr>
      <w:sz w:val="24"/>
    </w:rPr>
  </w:style>
  <w:style w:type="paragraph" w:styleId="Titolo1">
    <w:name w:val="heading 1"/>
    <w:basedOn w:val="Normale"/>
    <w:next w:val="Normale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olo2">
    <w:name w:val="heading 2"/>
    <w:basedOn w:val="Normale"/>
    <w:next w:val="Normale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D6D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3D6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styleId="Menzione">
    <w:name w:val="Mention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441EB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7877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a.it/en/power-distribution-units" TargetMode="External"/><Relationship Id="rId13" Type="http://schemas.openxmlformats.org/officeDocument/2006/relationships/image" Target="media/image6.jpeg"/><Relationship Id="rId18" Type="http://schemas.openxmlformats.org/officeDocument/2006/relationships/hyperlink" Target="https://www.youtube.com/user/MTAItaly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mta.it/en/home" TargetMode="External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https://www.facebook.com/MTA.GROUP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www.linkedin.com/company-beta/656938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CB3F-8D47-411D-95A0-C9ADBEA89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MTA SpA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subject/>
  <dc:creator>EDP</dc:creator>
  <cp:keywords/>
  <cp:lastModifiedBy>Silvia Casazza</cp:lastModifiedBy>
  <cp:revision>2</cp:revision>
  <cp:lastPrinted>2018-10-09T08:32:00Z</cp:lastPrinted>
  <dcterms:created xsi:type="dcterms:W3CDTF">2018-10-12T14:17:00Z</dcterms:created>
  <dcterms:modified xsi:type="dcterms:W3CDTF">2018-10-12T14:17:00Z</dcterms:modified>
</cp:coreProperties>
</file>